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EEB" w:rsidRPr="0048328A" w:rsidRDefault="0048328A" w:rsidP="0048328A">
      <w:pPr>
        <w:jc w:val="center"/>
        <w:rPr>
          <w:b/>
          <w:color w:val="000000" w:themeColor="text1"/>
          <w:sz w:val="96"/>
          <w:szCs w:val="96"/>
        </w:rPr>
      </w:pPr>
      <w:bookmarkStart w:id="0" w:name="_GoBack"/>
      <w:bookmarkEnd w:id="0"/>
      <w:r>
        <w:rPr>
          <w:b/>
          <w:color w:val="046866"/>
          <w:sz w:val="96"/>
          <w:szCs w:val="96"/>
        </w:rPr>
        <w:t xml:space="preserve">             </w:t>
      </w:r>
      <w:r w:rsidR="00AC1EEB" w:rsidRPr="0048328A">
        <w:rPr>
          <w:b/>
          <w:color w:val="000000" w:themeColor="text1"/>
          <w:sz w:val="96"/>
          <w:szCs w:val="96"/>
        </w:rPr>
        <w:t>CANA</w:t>
      </w:r>
      <w:r w:rsidRPr="0048328A">
        <w:rPr>
          <w:b/>
          <w:color w:val="000000" w:themeColor="text1"/>
          <w:sz w:val="96"/>
          <w:szCs w:val="96"/>
        </w:rPr>
        <w:t xml:space="preserve">   </w:t>
      </w:r>
      <w:r w:rsidRPr="0048328A">
        <w:rPr>
          <w:b/>
          <w:noProof/>
          <w:color w:val="000000" w:themeColor="text1"/>
          <w:sz w:val="96"/>
          <w:szCs w:val="96"/>
          <w:lang w:eastAsia="ga-IE"/>
        </w:rPr>
        <w:drawing>
          <wp:inline distT="0" distB="0" distL="0" distR="0" wp14:anchorId="02770AC4" wp14:editId="2BE4C1CB">
            <wp:extent cx="1505763" cy="1024139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6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5068" cy="1023666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inline>
        </w:drawing>
      </w:r>
      <w:r w:rsidRPr="0048328A">
        <w:rPr>
          <w:b/>
          <w:color w:val="000000" w:themeColor="text1"/>
          <w:sz w:val="96"/>
          <w:szCs w:val="96"/>
        </w:rPr>
        <w:t xml:space="preserve"> </w:t>
      </w:r>
    </w:p>
    <w:p w:rsidR="00AC1EEB" w:rsidRPr="0048328A" w:rsidRDefault="00AC1EEB" w:rsidP="00AC1EEB">
      <w:pPr>
        <w:jc w:val="center"/>
        <w:rPr>
          <w:b/>
          <w:color w:val="045C5A"/>
          <w:sz w:val="72"/>
          <w:szCs w:val="72"/>
        </w:rPr>
      </w:pPr>
      <w:r w:rsidRPr="0048328A">
        <w:rPr>
          <w:b/>
          <w:color w:val="000000" w:themeColor="text1"/>
          <w:sz w:val="72"/>
          <w:szCs w:val="72"/>
        </w:rPr>
        <w:t>Revenue Staff Credit Union</w:t>
      </w:r>
    </w:p>
    <w:p w:rsidR="00AC1EEB" w:rsidRPr="00417C78" w:rsidRDefault="00AC1EEB" w:rsidP="00AC1EEB">
      <w:pPr>
        <w:jc w:val="center"/>
        <w:rPr>
          <w:b/>
          <w:color w:val="FF0000"/>
          <w:sz w:val="72"/>
          <w:szCs w:val="72"/>
        </w:rPr>
      </w:pPr>
      <w:r w:rsidRPr="00417C78">
        <w:rPr>
          <w:b/>
          <w:color w:val="FF0000"/>
          <w:sz w:val="72"/>
          <w:szCs w:val="72"/>
        </w:rPr>
        <w:t>Loan Within</w:t>
      </w:r>
      <w:r w:rsidR="003768E3" w:rsidRPr="00417C78">
        <w:rPr>
          <w:b/>
          <w:color w:val="FF0000"/>
          <w:sz w:val="72"/>
          <w:szCs w:val="72"/>
        </w:rPr>
        <w:t xml:space="preserve"> </w:t>
      </w:r>
      <w:r w:rsidRPr="00417C78">
        <w:rPr>
          <w:b/>
          <w:color w:val="FF0000"/>
          <w:sz w:val="72"/>
          <w:szCs w:val="72"/>
        </w:rPr>
        <w:t>Shares</w:t>
      </w:r>
    </w:p>
    <w:p w:rsidR="00A659BC" w:rsidRPr="00417C78" w:rsidRDefault="003768E3" w:rsidP="00E2725B">
      <w:pPr>
        <w:jc w:val="center"/>
        <w:rPr>
          <w:b/>
          <w:color w:val="FF0000"/>
          <w:sz w:val="48"/>
          <w:szCs w:val="48"/>
        </w:rPr>
      </w:pPr>
      <w:r w:rsidRPr="00417C78">
        <w:rPr>
          <w:b/>
          <w:color w:val="FF0000"/>
          <w:sz w:val="48"/>
          <w:szCs w:val="48"/>
        </w:rPr>
        <w:t xml:space="preserve">@4.9% </w:t>
      </w:r>
      <w:r w:rsidRPr="005D4906">
        <w:rPr>
          <w:b/>
          <w:color w:val="FF0000"/>
          <w:sz w:val="36"/>
          <w:szCs w:val="36"/>
        </w:rPr>
        <w:t>(apr 5.01%)</w:t>
      </w:r>
    </w:p>
    <w:p w:rsidR="003768E3" w:rsidRPr="005D4906" w:rsidRDefault="003768E3" w:rsidP="00E2725B">
      <w:pPr>
        <w:jc w:val="center"/>
        <w:rPr>
          <w:b/>
          <w:color w:val="000000" w:themeColor="text1"/>
          <w:sz w:val="28"/>
          <w:szCs w:val="28"/>
        </w:rPr>
      </w:pPr>
      <w:r w:rsidRPr="005D4906">
        <w:rPr>
          <w:b/>
          <w:color w:val="000000" w:themeColor="text1"/>
          <w:sz w:val="28"/>
          <w:szCs w:val="28"/>
        </w:rPr>
        <w:t>Typical repayments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5D4906" w:rsidRPr="005D4906" w:rsidTr="003768E3">
        <w:tc>
          <w:tcPr>
            <w:tcW w:w="3080" w:type="dxa"/>
          </w:tcPr>
          <w:p w:rsidR="003768E3" w:rsidRPr="005D4906" w:rsidRDefault="003768E3" w:rsidP="003768E3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D4906">
              <w:rPr>
                <w:b/>
                <w:color w:val="000000" w:themeColor="text1"/>
                <w:sz w:val="28"/>
                <w:szCs w:val="28"/>
              </w:rPr>
              <w:t>Amount</w:t>
            </w:r>
          </w:p>
        </w:tc>
        <w:tc>
          <w:tcPr>
            <w:tcW w:w="3081" w:type="dxa"/>
          </w:tcPr>
          <w:p w:rsidR="003768E3" w:rsidRPr="005D4906" w:rsidRDefault="003768E3" w:rsidP="003768E3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D4906">
              <w:rPr>
                <w:b/>
                <w:color w:val="000000" w:themeColor="text1"/>
                <w:sz w:val="28"/>
                <w:szCs w:val="28"/>
              </w:rPr>
              <w:t>Repayments</w:t>
            </w:r>
          </w:p>
        </w:tc>
        <w:tc>
          <w:tcPr>
            <w:tcW w:w="3081" w:type="dxa"/>
          </w:tcPr>
          <w:p w:rsidR="003768E3" w:rsidRPr="005D4906" w:rsidRDefault="003768E3" w:rsidP="003768E3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D4906">
              <w:rPr>
                <w:b/>
                <w:color w:val="000000" w:themeColor="text1"/>
                <w:sz w:val="28"/>
                <w:szCs w:val="28"/>
              </w:rPr>
              <w:t>Term</w:t>
            </w:r>
          </w:p>
        </w:tc>
      </w:tr>
      <w:tr w:rsidR="005D4906" w:rsidRPr="005D4906" w:rsidTr="003768E3">
        <w:tc>
          <w:tcPr>
            <w:tcW w:w="3080" w:type="dxa"/>
          </w:tcPr>
          <w:p w:rsidR="003768E3" w:rsidRPr="005D4906" w:rsidRDefault="003768E3" w:rsidP="003768E3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D4906">
              <w:rPr>
                <w:b/>
                <w:color w:val="000000" w:themeColor="text1"/>
                <w:sz w:val="28"/>
                <w:szCs w:val="28"/>
              </w:rPr>
              <w:t>€5000</w:t>
            </w:r>
          </w:p>
        </w:tc>
        <w:tc>
          <w:tcPr>
            <w:tcW w:w="3081" w:type="dxa"/>
          </w:tcPr>
          <w:p w:rsidR="003768E3" w:rsidRPr="005D4906" w:rsidRDefault="003768E3" w:rsidP="003768E3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D4906">
              <w:rPr>
                <w:b/>
                <w:color w:val="000000" w:themeColor="text1"/>
                <w:sz w:val="28"/>
                <w:szCs w:val="28"/>
              </w:rPr>
              <w:t>€22.00</w:t>
            </w:r>
          </w:p>
        </w:tc>
        <w:tc>
          <w:tcPr>
            <w:tcW w:w="3081" w:type="dxa"/>
          </w:tcPr>
          <w:p w:rsidR="003768E3" w:rsidRPr="005D4906" w:rsidRDefault="003768E3" w:rsidP="003768E3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D4906">
              <w:rPr>
                <w:b/>
                <w:color w:val="000000" w:themeColor="text1"/>
                <w:sz w:val="28"/>
                <w:szCs w:val="28"/>
              </w:rPr>
              <w:t>5 years</w:t>
            </w:r>
          </w:p>
        </w:tc>
      </w:tr>
      <w:tr w:rsidR="005D4906" w:rsidRPr="005D4906" w:rsidTr="003768E3">
        <w:tc>
          <w:tcPr>
            <w:tcW w:w="3080" w:type="dxa"/>
          </w:tcPr>
          <w:p w:rsidR="003768E3" w:rsidRPr="005D4906" w:rsidRDefault="003768E3" w:rsidP="003768E3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D4906">
              <w:rPr>
                <w:b/>
                <w:color w:val="000000" w:themeColor="text1"/>
                <w:sz w:val="28"/>
                <w:szCs w:val="28"/>
              </w:rPr>
              <w:t>€10,000</w:t>
            </w:r>
          </w:p>
        </w:tc>
        <w:tc>
          <w:tcPr>
            <w:tcW w:w="3081" w:type="dxa"/>
          </w:tcPr>
          <w:p w:rsidR="003768E3" w:rsidRPr="005D4906" w:rsidRDefault="003768E3" w:rsidP="003768E3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D4906">
              <w:rPr>
                <w:b/>
                <w:color w:val="000000" w:themeColor="text1"/>
                <w:sz w:val="28"/>
                <w:szCs w:val="28"/>
              </w:rPr>
              <w:t>€44.03</w:t>
            </w:r>
          </w:p>
        </w:tc>
        <w:tc>
          <w:tcPr>
            <w:tcW w:w="3081" w:type="dxa"/>
          </w:tcPr>
          <w:p w:rsidR="003768E3" w:rsidRPr="005D4906" w:rsidRDefault="003768E3" w:rsidP="003768E3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D4906">
              <w:rPr>
                <w:b/>
                <w:color w:val="000000" w:themeColor="text1"/>
                <w:sz w:val="28"/>
                <w:szCs w:val="28"/>
              </w:rPr>
              <w:t>5 years</w:t>
            </w:r>
          </w:p>
        </w:tc>
      </w:tr>
      <w:tr w:rsidR="005D4906" w:rsidRPr="005D4906" w:rsidTr="003768E3">
        <w:tc>
          <w:tcPr>
            <w:tcW w:w="3080" w:type="dxa"/>
          </w:tcPr>
          <w:p w:rsidR="003768E3" w:rsidRPr="005D4906" w:rsidRDefault="003768E3" w:rsidP="003768E3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D4906">
              <w:rPr>
                <w:b/>
                <w:color w:val="000000" w:themeColor="text1"/>
                <w:sz w:val="28"/>
                <w:szCs w:val="28"/>
              </w:rPr>
              <w:t>€15,000</w:t>
            </w:r>
          </w:p>
        </w:tc>
        <w:tc>
          <w:tcPr>
            <w:tcW w:w="3081" w:type="dxa"/>
          </w:tcPr>
          <w:p w:rsidR="003768E3" w:rsidRPr="005D4906" w:rsidRDefault="003768E3" w:rsidP="003768E3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D4906">
              <w:rPr>
                <w:b/>
                <w:color w:val="000000" w:themeColor="text1"/>
                <w:sz w:val="28"/>
                <w:szCs w:val="28"/>
              </w:rPr>
              <w:t>€66.04</w:t>
            </w:r>
          </w:p>
        </w:tc>
        <w:tc>
          <w:tcPr>
            <w:tcW w:w="3081" w:type="dxa"/>
          </w:tcPr>
          <w:p w:rsidR="003768E3" w:rsidRPr="005D4906" w:rsidRDefault="003768E3" w:rsidP="003768E3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D4906">
              <w:rPr>
                <w:b/>
                <w:color w:val="000000" w:themeColor="text1"/>
                <w:sz w:val="28"/>
                <w:szCs w:val="28"/>
              </w:rPr>
              <w:t>5 years</w:t>
            </w:r>
          </w:p>
        </w:tc>
      </w:tr>
      <w:tr w:rsidR="005D4906" w:rsidRPr="005D4906" w:rsidTr="003768E3">
        <w:tc>
          <w:tcPr>
            <w:tcW w:w="3080" w:type="dxa"/>
          </w:tcPr>
          <w:p w:rsidR="003768E3" w:rsidRPr="005D4906" w:rsidRDefault="003768E3" w:rsidP="003768E3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D4906">
              <w:rPr>
                <w:b/>
                <w:color w:val="000000" w:themeColor="text1"/>
                <w:sz w:val="28"/>
                <w:szCs w:val="28"/>
              </w:rPr>
              <w:t>€20,000</w:t>
            </w:r>
          </w:p>
        </w:tc>
        <w:tc>
          <w:tcPr>
            <w:tcW w:w="3081" w:type="dxa"/>
          </w:tcPr>
          <w:p w:rsidR="003768E3" w:rsidRPr="005D4906" w:rsidRDefault="003768E3" w:rsidP="003768E3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D4906">
              <w:rPr>
                <w:b/>
                <w:color w:val="000000" w:themeColor="text1"/>
                <w:sz w:val="28"/>
                <w:szCs w:val="28"/>
              </w:rPr>
              <w:t>€88.04</w:t>
            </w:r>
          </w:p>
        </w:tc>
        <w:tc>
          <w:tcPr>
            <w:tcW w:w="3081" w:type="dxa"/>
          </w:tcPr>
          <w:p w:rsidR="003768E3" w:rsidRPr="005D4906" w:rsidRDefault="003768E3" w:rsidP="003768E3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D4906">
              <w:rPr>
                <w:b/>
                <w:color w:val="000000" w:themeColor="text1"/>
                <w:sz w:val="28"/>
                <w:szCs w:val="28"/>
              </w:rPr>
              <w:t>5 years</w:t>
            </w:r>
          </w:p>
        </w:tc>
      </w:tr>
    </w:tbl>
    <w:p w:rsidR="003768E3" w:rsidRPr="005D4906" w:rsidRDefault="003768E3" w:rsidP="003768E3">
      <w:pPr>
        <w:jc w:val="center"/>
        <w:rPr>
          <w:b/>
          <w:color w:val="000000" w:themeColor="text1"/>
          <w:sz w:val="28"/>
          <w:szCs w:val="28"/>
          <w:u w:val="single"/>
        </w:rPr>
      </w:pPr>
    </w:p>
    <w:p w:rsidR="00E2725B" w:rsidRPr="005D4906" w:rsidRDefault="00E2725B" w:rsidP="00E2725B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5D4906">
        <w:rPr>
          <w:b/>
          <w:color w:val="000000" w:themeColor="text1"/>
          <w:sz w:val="24"/>
          <w:szCs w:val="24"/>
        </w:rPr>
        <w:t>Minimum loan €3,000 –Maximum Loan €40,000</w:t>
      </w:r>
    </w:p>
    <w:p w:rsidR="00E2725B" w:rsidRPr="005D4906" w:rsidRDefault="00E2725B" w:rsidP="00E2725B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5D4906">
        <w:rPr>
          <w:b/>
          <w:color w:val="000000" w:themeColor="text1"/>
          <w:sz w:val="24"/>
          <w:szCs w:val="24"/>
        </w:rPr>
        <w:t>Interest Rate 4.9% p.a variable. Typical APR 5.01%</w:t>
      </w:r>
    </w:p>
    <w:p w:rsidR="00E2725B" w:rsidRPr="005D4906" w:rsidRDefault="00E2725B" w:rsidP="00E2725B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5D4906">
        <w:rPr>
          <w:b/>
          <w:color w:val="000000" w:themeColor="text1"/>
          <w:sz w:val="24"/>
          <w:szCs w:val="24"/>
        </w:rPr>
        <w:t>This rate applies to new loans that are fully secured by shares.</w:t>
      </w:r>
    </w:p>
    <w:p w:rsidR="00E2725B" w:rsidRPr="005D4906" w:rsidRDefault="00417C78" w:rsidP="00E2725B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5D4906">
        <w:rPr>
          <w:b/>
          <w:color w:val="000000" w:themeColor="text1"/>
          <w:sz w:val="24"/>
          <w:szCs w:val="24"/>
        </w:rPr>
        <w:t>Loans within shares</w:t>
      </w:r>
      <w:r w:rsidR="00E2725B" w:rsidRPr="005D4906">
        <w:rPr>
          <w:b/>
          <w:color w:val="000000" w:themeColor="text1"/>
          <w:sz w:val="24"/>
          <w:szCs w:val="24"/>
        </w:rPr>
        <w:t xml:space="preserve"> may be topped up and still benefit from the reduced interest rate of 4.9%</w:t>
      </w:r>
      <w:r w:rsidR="00E2725B" w:rsidRPr="005D4906">
        <w:rPr>
          <w:b/>
          <w:color w:val="000000" w:themeColor="text1"/>
          <w:sz w:val="20"/>
          <w:szCs w:val="20"/>
        </w:rPr>
        <w:t xml:space="preserve">(apr 5.01%) </w:t>
      </w:r>
      <w:r w:rsidR="00E2725B" w:rsidRPr="005D4906">
        <w:rPr>
          <w:b/>
          <w:color w:val="000000" w:themeColor="text1"/>
          <w:sz w:val="24"/>
          <w:szCs w:val="24"/>
        </w:rPr>
        <w:t xml:space="preserve">providing the members borrowings continue to be fully secured by shares. </w:t>
      </w:r>
    </w:p>
    <w:p w:rsidR="00E2725B" w:rsidRPr="005D4906" w:rsidRDefault="00E2725B" w:rsidP="00E2725B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5D4906">
        <w:rPr>
          <w:b/>
          <w:color w:val="000000" w:themeColor="text1"/>
          <w:sz w:val="24"/>
          <w:szCs w:val="24"/>
        </w:rPr>
        <w:t>If the member is granted a top-up loan that would result in the“</w:t>
      </w:r>
      <w:r w:rsidR="00417C78" w:rsidRPr="005D4906">
        <w:rPr>
          <w:b/>
          <w:color w:val="000000" w:themeColor="text1"/>
          <w:sz w:val="24"/>
          <w:szCs w:val="24"/>
        </w:rPr>
        <w:t>Loans within s</w:t>
      </w:r>
      <w:r w:rsidR="00AC1EEB" w:rsidRPr="005D4906">
        <w:rPr>
          <w:b/>
          <w:color w:val="000000" w:themeColor="text1"/>
          <w:sz w:val="24"/>
          <w:szCs w:val="24"/>
        </w:rPr>
        <w:t>hares</w:t>
      </w:r>
      <w:r w:rsidRPr="005D4906">
        <w:rPr>
          <w:b/>
          <w:color w:val="000000" w:themeColor="text1"/>
          <w:sz w:val="24"/>
          <w:szCs w:val="24"/>
        </w:rPr>
        <w:t>”balance exceeding the members shares the loan is no l</w:t>
      </w:r>
      <w:r w:rsidR="00417C78" w:rsidRPr="005D4906">
        <w:rPr>
          <w:b/>
          <w:color w:val="000000" w:themeColor="text1"/>
          <w:sz w:val="24"/>
          <w:szCs w:val="24"/>
        </w:rPr>
        <w:t>onger deemed to be a“Loan within shares</w:t>
      </w:r>
      <w:r w:rsidRPr="005D4906">
        <w:rPr>
          <w:b/>
          <w:color w:val="000000" w:themeColor="text1"/>
          <w:sz w:val="24"/>
          <w:szCs w:val="24"/>
        </w:rPr>
        <w:t>”and the rate on the entire loan balance is reset at our standard lending rate – currently 7.9%</w:t>
      </w:r>
      <w:r w:rsidRPr="005D4906">
        <w:rPr>
          <w:b/>
          <w:color w:val="000000" w:themeColor="text1"/>
        </w:rPr>
        <w:t xml:space="preserve">(apr8.1%) </w:t>
      </w:r>
      <w:r w:rsidRPr="005D4906">
        <w:rPr>
          <w:b/>
          <w:color w:val="000000" w:themeColor="text1"/>
          <w:sz w:val="24"/>
          <w:szCs w:val="24"/>
        </w:rPr>
        <w:t>p.a.</w:t>
      </w:r>
    </w:p>
    <w:p w:rsidR="00E2725B" w:rsidRPr="005D4906" w:rsidRDefault="00E2725B" w:rsidP="00E2725B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5D4906">
        <w:rPr>
          <w:b/>
          <w:color w:val="000000" w:themeColor="text1"/>
          <w:sz w:val="24"/>
          <w:szCs w:val="24"/>
        </w:rPr>
        <w:t>A member can no longer benefit from the reduced“</w:t>
      </w:r>
      <w:r w:rsidR="00417C78" w:rsidRPr="005D4906">
        <w:rPr>
          <w:b/>
          <w:color w:val="000000" w:themeColor="text1"/>
          <w:sz w:val="24"/>
          <w:szCs w:val="24"/>
        </w:rPr>
        <w:t>Loan within s</w:t>
      </w:r>
      <w:r w:rsidR="00AC1EEB" w:rsidRPr="005D4906">
        <w:rPr>
          <w:b/>
          <w:color w:val="000000" w:themeColor="text1"/>
          <w:sz w:val="24"/>
          <w:szCs w:val="24"/>
        </w:rPr>
        <w:t>hares</w:t>
      </w:r>
      <w:r w:rsidRPr="005D4906">
        <w:rPr>
          <w:b/>
          <w:color w:val="000000" w:themeColor="text1"/>
          <w:sz w:val="24"/>
          <w:szCs w:val="24"/>
        </w:rPr>
        <w:t>” rate of 4.9%</w:t>
      </w:r>
      <w:r w:rsidRPr="005D4906">
        <w:rPr>
          <w:b/>
          <w:color w:val="000000" w:themeColor="text1"/>
        </w:rPr>
        <w:t xml:space="preserve">(apr 5.01%) </w:t>
      </w:r>
      <w:r w:rsidRPr="005D4906">
        <w:rPr>
          <w:b/>
          <w:color w:val="000000" w:themeColor="text1"/>
          <w:sz w:val="24"/>
          <w:szCs w:val="24"/>
        </w:rPr>
        <w:t>if they take out a separate loan facility that results in their aggregate borrowings with Cana exceeding their share balance.</w:t>
      </w:r>
    </w:p>
    <w:p w:rsidR="002F0E38" w:rsidRPr="005D4906" w:rsidRDefault="00E2725B" w:rsidP="00E2725B">
      <w:pPr>
        <w:pStyle w:val="ListParagraph"/>
        <w:numPr>
          <w:ilvl w:val="0"/>
          <w:numId w:val="1"/>
        </w:numPr>
        <w:rPr>
          <w:b/>
          <w:color w:val="000000" w:themeColor="text1"/>
          <w:sz w:val="24"/>
          <w:szCs w:val="24"/>
        </w:rPr>
      </w:pPr>
      <w:r w:rsidRPr="005D4906">
        <w:rPr>
          <w:b/>
          <w:color w:val="000000" w:themeColor="text1"/>
          <w:sz w:val="24"/>
          <w:szCs w:val="24"/>
        </w:rPr>
        <w:t>If a member withdraws attached shares that as held as security for a“</w:t>
      </w:r>
      <w:r w:rsidR="00AC1EEB" w:rsidRPr="005D4906">
        <w:rPr>
          <w:b/>
          <w:color w:val="000000" w:themeColor="text1"/>
          <w:sz w:val="24"/>
          <w:szCs w:val="24"/>
        </w:rPr>
        <w:t>Loan within shares</w:t>
      </w:r>
      <w:r w:rsidRPr="005D4906">
        <w:rPr>
          <w:b/>
          <w:color w:val="000000" w:themeColor="text1"/>
          <w:sz w:val="24"/>
          <w:szCs w:val="24"/>
        </w:rPr>
        <w:t>” it will result in the rate on the“</w:t>
      </w:r>
      <w:r w:rsidR="00AC1EEB" w:rsidRPr="005D4906">
        <w:rPr>
          <w:b/>
          <w:color w:val="000000" w:themeColor="text1"/>
          <w:sz w:val="24"/>
          <w:szCs w:val="24"/>
        </w:rPr>
        <w:t>Loan Within Shares</w:t>
      </w:r>
      <w:r w:rsidRPr="005D4906">
        <w:rPr>
          <w:b/>
          <w:color w:val="000000" w:themeColor="text1"/>
          <w:sz w:val="24"/>
          <w:szCs w:val="24"/>
        </w:rPr>
        <w:t>”being amended to our standard loan rate - currently 7.9%</w:t>
      </w:r>
      <w:r w:rsidRPr="005D4906">
        <w:rPr>
          <w:b/>
          <w:color w:val="000000" w:themeColor="text1"/>
        </w:rPr>
        <w:t>(apr8.1%)</w:t>
      </w:r>
    </w:p>
    <w:sectPr w:rsidR="002F0E38" w:rsidRPr="005D49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870E4"/>
    <w:multiLevelType w:val="hybridMultilevel"/>
    <w:tmpl w:val="71CAD744"/>
    <w:lvl w:ilvl="0" w:tplc="083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3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3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3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3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3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3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3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3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8E3"/>
    <w:rsid w:val="0001721D"/>
    <w:rsid w:val="002F0E38"/>
    <w:rsid w:val="003768E3"/>
    <w:rsid w:val="00417C78"/>
    <w:rsid w:val="0048328A"/>
    <w:rsid w:val="005327CA"/>
    <w:rsid w:val="00567B30"/>
    <w:rsid w:val="005D4906"/>
    <w:rsid w:val="008521F4"/>
    <w:rsid w:val="00962762"/>
    <w:rsid w:val="00A2610A"/>
    <w:rsid w:val="00A659BC"/>
    <w:rsid w:val="00AC1EEB"/>
    <w:rsid w:val="00E2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ga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ga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6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8E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6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272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ga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68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68E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76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272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 Brophy</dc:creator>
  <cp:lastModifiedBy>Fiona Brophy</cp:lastModifiedBy>
  <cp:revision>2</cp:revision>
  <cp:lastPrinted>2012-07-11T14:48:00Z</cp:lastPrinted>
  <dcterms:created xsi:type="dcterms:W3CDTF">2013-06-19T13:21:00Z</dcterms:created>
  <dcterms:modified xsi:type="dcterms:W3CDTF">2013-06-19T13:21:00Z</dcterms:modified>
</cp:coreProperties>
</file>